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B5" w:rsidRDefault="00113AB5" w:rsidP="00900E01">
      <w:pPr>
        <w:rPr>
          <w:sz w:val="24"/>
          <w:lang w:val="en-US"/>
        </w:rPr>
      </w:pPr>
    </w:p>
    <w:p w:rsidR="00113AB5" w:rsidRDefault="00113AB5" w:rsidP="00900E01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13AB5" w:rsidRDefault="00113AB5" w:rsidP="00900E01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3.25pt;margin-top:-32.8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13AB5" w:rsidRDefault="00113AB5" w:rsidP="00900E01">
      <w:pPr>
        <w:jc w:val="center"/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MUNICIPAL SOROCA                              МУНИЦИПАЛЬНЫЙ  СОВЕТ   СОРОКА</w:t>
      </w:r>
    </w:p>
    <w:p w:rsidR="00113AB5" w:rsidRDefault="00113AB5" w:rsidP="00900E01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113AB5" w:rsidRDefault="00113AB5" w:rsidP="00900E01"/>
    <w:p w:rsidR="00113AB5" w:rsidRDefault="00113AB5" w:rsidP="00900E01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21/16</w:t>
      </w:r>
    </w:p>
    <w:p w:rsidR="00113AB5" w:rsidRDefault="00113AB5" w:rsidP="00900E01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113AB5" w:rsidRDefault="00113AB5" w:rsidP="00900E01">
      <w:pPr>
        <w:rPr>
          <w:rFonts w:ascii="Bookman Old Style" w:hAnsi="Bookman Old Style"/>
          <w:sz w:val="24"/>
          <w:szCs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Cu privire la acordarea unor împuterniciri</w:t>
      </w: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capitolul administrării bunurilor pentru</w:t>
      </w: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încheierea contractelor de locaţiune.</w:t>
      </w: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În temeiul art. 3 (2), 14 (1), (2) b), c) şi 77 (2) ale Legii privind administraţia publică locală nr. 436-XVI din 28.12.2006, Consiliul orăşenesc DECIDE:</w:t>
      </w: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1. Se acordă împuterniciri primarului privind încheierea contractelor de locaţiune cu deţinătorii de terenuri proprietate publică a primăriei Soroca conform anexa nr.1.</w:t>
      </w: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  <w:lang w:val="it-IT"/>
        </w:rPr>
        <w:t>VITALIE JARDAN</w:t>
      </w: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>
      <w:pPr>
        <w:jc w:val="both"/>
        <w:rPr>
          <w:rFonts w:ascii="Bookman Old Style" w:hAnsi="Bookman Old Style"/>
          <w:sz w:val="24"/>
        </w:rPr>
      </w:pPr>
    </w:p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>
      <w:pPr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</w:t>
      </w:r>
      <w:r>
        <w:rPr>
          <w:rFonts w:ascii="Bookman Old Style" w:hAnsi="Bookman Old Style"/>
        </w:rPr>
        <w:t xml:space="preserve">Anexa nr. 1 (1 file)    </w:t>
      </w:r>
    </w:p>
    <w:p w:rsidR="00113AB5" w:rsidRDefault="00113AB5" w:rsidP="00900E01">
      <w:pPr>
        <w:jc w:val="right"/>
        <w:rPr>
          <w:rFonts w:ascii="Bookman Old Style" w:hAnsi="Bookman Old Style"/>
        </w:rPr>
      </w:pPr>
    </w:p>
    <w:p w:rsidR="00113AB5" w:rsidRDefault="00113AB5" w:rsidP="00900E01">
      <w:pPr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la decizia C/o nr. 21/16 din 30.06.2017</w:t>
      </w:r>
    </w:p>
    <w:p w:rsidR="00113AB5" w:rsidRDefault="00113AB5" w:rsidP="00900E01">
      <w:pPr>
        <w:ind w:left="4320" w:firstLine="720"/>
        <w:jc w:val="both"/>
        <w:rPr>
          <w:rFonts w:ascii="Bookman Old Style" w:hAnsi="Bookman Old Style"/>
        </w:rPr>
      </w:pPr>
    </w:p>
    <w:p w:rsidR="00113AB5" w:rsidRDefault="00113AB5" w:rsidP="00900E01">
      <w:pPr>
        <w:ind w:left="4320" w:firstLine="720"/>
        <w:jc w:val="both"/>
        <w:rPr>
          <w:rFonts w:ascii="Bookman Old Style" w:hAnsi="Bookman Old Style"/>
        </w:rPr>
      </w:pPr>
    </w:p>
    <w:p w:rsidR="00113AB5" w:rsidRDefault="00113AB5" w:rsidP="00900E01">
      <w:pPr>
        <w:ind w:left="4320" w:firstLine="720"/>
        <w:jc w:val="both"/>
        <w:rPr>
          <w:rFonts w:ascii="Bookman Old Style" w:hAnsi="Bookman Old Style"/>
        </w:rPr>
      </w:pPr>
    </w:p>
    <w:p w:rsidR="00113AB5" w:rsidRDefault="00113AB5" w:rsidP="00900E01">
      <w:pPr>
        <w:ind w:left="4320" w:firstLine="720"/>
        <w:jc w:val="both"/>
        <w:rPr>
          <w:rFonts w:ascii="Bookman Old Style" w:hAnsi="Bookman Old Style"/>
        </w:rPr>
      </w:pPr>
    </w:p>
    <w:p w:rsidR="00113AB5" w:rsidRDefault="00113AB5" w:rsidP="00900E01">
      <w:pPr>
        <w:ind w:left="4320" w:firstLine="720"/>
        <w:jc w:val="both"/>
        <w:rPr>
          <w:rFonts w:ascii="Bookman Old Style" w:hAnsi="Bookman Old Style"/>
        </w:rPr>
      </w:pPr>
    </w:p>
    <w:p w:rsidR="00113AB5" w:rsidRDefault="00113AB5" w:rsidP="00900E0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ab/>
        <w:t xml:space="preserve"> LISTA BUNURILOR IMOBILE PROPRIETATE PUBLICĂ A MUN. SOROCA</w:t>
      </w:r>
    </w:p>
    <w:p w:rsidR="00113AB5" w:rsidRDefault="00113AB5" w:rsidP="00900E01">
      <w:pPr>
        <w:jc w:val="center"/>
        <w:rPr>
          <w:rFonts w:ascii="Bookman Old Style" w:hAnsi="Bookman Old Style"/>
          <w:sz w:val="24"/>
          <w:szCs w:val="24"/>
        </w:rPr>
      </w:pPr>
    </w:p>
    <w:p w:rsidR="00113AB5" w:rsidRDefault="00113AB5" w:rsidP="00900E01">
      <w:pPr>
        <w:jc w:val="center"/>
        <w:rPr>
          <w:rFonts w:ascii="Bookman Old Style" w:hAnsi="Bookman Old Style"/>
          <w:sz w:val="24"/>
          <w:szCs w:val="24"/>
        </w:rPr>
      </w:pPr>
    </w:p>
    <w:p w:rsidR="00113AB5" w:rsidRDefault="00113AB5" w:rsidP="00900E01">
      <w:pPr>
        <w:jc w:val="center"/>
        <w:rPr>
          <w:rFonts w:ascii="Bookman Old Style" w:hAnsi="Bookman Old Style"/>
          <w:sz w:val="24"/>
          <w:szCs w:val="24"/>
        </w:rPr>
      </w:pPr>
    </w:p>
    <w:p w:rsidR="00113AB5" w:rsidRDefault="00113AB5" w:rsidP="00900E01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pPr w:leftFromText="180" w:rightFromText="180" w:vertAnchor="text" w:horzAnchor="margin" w:tblpXSpec="center" w:tblpY="12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423"/>
        <w:gridCol w:w="1159"/>
        <w:gridCol w:w="1105"/>
        <w:gridCol w:w="2023"/>
        <w:gridCol w:w="1285"/>
        <w:gridCol w:w="734"/>
        <w:gridCol w:w="1102"/>
      </w:tblGrid>
      <w:tr w:rsidR="00113AB5" w:rsidTr="00780B62">
        <w:trPr>
          <w:trHeight w:val="235"/>
        </w:trPr>
        <w:tc>
          <w:tcPr>
            <w:tcW w:w="829" w:type="dxa"/>
            <w:vMerge w:val="restart"/>
          </w:tcPr>
          <w:p w:rsidR="00113AB5" w:rsidRDefault="00113AB5">
            <w:pPr>
              <w:jc w:val="center"/>
            </w:pPr>
            <w:r>
              <w:t>Nr.d/o</w:t>
            </w:r>
          </w:p>
        </w:tc>
        <w:tc>
          <w:tcPr>
            <w:tcW w:w="1423" w:type="dxa"/>
            <w:vMerge w:val="restart"/>
          </w:tcPr>
          <w:p w:rsidR="00113AB5" w:rsidRDefault="00113AB5">
            <w:pPr>
              <w:jc w:val="center"/>
            </w:pPr>
            <w:r>
              <w:t>Numărul cadastral</w:t>
            </w:r>
          </w:p>
        </w:tc>
        <w:tc>
          <w:tcPr>
            <w:tcW w:w="2264" w:type="dxa"/>
            <w:gridSpan w:val="2"/>
          </w:tcPr>
          <w:p w:rsidR="00113AB5" w:rsidRDefault="00113AB5">
            <w:pPr>
              <w:jc w:val="center"/>
            </w:pPr>
            <w:r>
              <w:t>Suprafaşa (ha)</w:t>
            </w:r>
          </w:p>
        </w:tc>
        <w:tc>
          <w:tcPr>
            <w:tcW w:w="2023" w:type="dxa"/>
            <w:vMerge w:val="restart"/>
          </w:tcPr>
          <w:p w:rsidR="00113AB5" w:rsidRDefault="00113AB5">
            <w:pPr>
              <w:jc w:val="center"/>
            </w:pPr>
            <w:r>
              <w:t>Adresa poştală</w:t>
            </w:r>
          </w:p>
        </w:tc>
        <w:tc>
          <w:tcPr>
            <w:tcW w:w="1285" w:type="dxa"/>
            <w:vMerge w:val="restart"/>
          </w:tcPr>
          <w:p w:rsidR="00113AB5" w:rsidRDefault="00113AB5">
            <w:pPr>
              <w:jc w:val="center"/>
            </w:pPr>
            <w:r>
              <w:t>Deţinătorul terenului</w:t>
            </w:r>
          </w:p>
        </w:tc>
        <w:tc>
          <w:tcPr>
            <w:tcW w:w="1836" w:type="dxa"/>
            <w:gridSpan w:val="2"/>
          </w:tcPr>
          <w:p w:rsidR="00113AB5" w:rsidRDefault="00113AB5">
            <w:pPr>
              <w:jc w:val="center"/>
            </w:pPr>
            <w:r>
              <w:t>Menţiune</w:t>
            </w:r>
          </w:p>
        </w:tc>
      </w:tr>
      <w:tr w:rsidR="00113AB5" w:rsidTr="00780B62">
        <w:trPr>
          <w:trHeight w:val="150"/>
        </w:trPr>
        <w:tc>
          <w:tcPr>
            <w:tcW w:w="829" w:type="dxa"/>
            <w:vMerge/>
            <w:vAlign w:val="center"/>
          </w:tcPr>
          <w:p w:rsidR="00113AB5" w:rsidRDefault="00113AB5"/>
        </w:tc>
        <w:tc>
          <w:tcPr>
            <w:tcW w:w="1423" w:type="dxa"/>
            <w:vMerge/>
            <w:vAlign w:val="center"/>
          </w:tcPr>
          <w:p w:rsidR="00113AB5" w:rsidRDefault="00113AB5"/>
        </w:tc>
        <w:tc>
          <w:tcPr>
            <w:tcW w:w="1159" w:type="dxa"/>
          </w:tcPr>
          <w:p w:rsidR="00113AB5" w:rsidRDefault="00113AB5">
            <w:pPr>
              <w:jc w:val="center"/>
            </w:pPr>
            <w:r>
              <w:t>Conform registr.b.i</w:t>
            </w:r>
          </w:p>
        </w:tc>
        <w:tc>
          <w:tcPr>
            <w:tcW w:w="1105" w:type="dxa"/>
          </w:tcPr>
          <w:p w:rsidR="00113AB5" w:rsidRDefault="00113AB5">
            <w:pPr>
              <w:jc w:val="center"/>
            </w:pPr>
            <w:r>
              <w:t>Conform deciziei /</w:t>
            </w:r>
          </w:p>
          <w:p w:rsidR="00113AB5" w:rsidRDefault="00113AB5">
            <w:pPr>
              <w:jc w:val="center"/>
            </w:pPr>
            <w:r>
              <w:t>Procesului verbal de la licitaţie</w:t>
            </w:r>
          </w:p>
        </w:tc>
        <w:tc>
          <w:tcPr>
            <w:tcW w:w="2023" w:type="dxa"/>
            <w:vMerge/>
            <w:vAlign w:val="center"/>
          </w:tcPr>
          <w:p w:rsidR="00113AB5" w:rsidRDefault="00113AB5"/>
        </w:tc>
        <w:tc>
          <w:tcPr>
            <w:tcW w:w="1285" w:type="dxa"/>
            <w:vMerge/>
            <w:vAlign w:val="center"/>
          </w:tcPr>
          <w:p w:rsidR="00113AB5" w:rsidRDefault="00113AB5"/>
        </w:tc>
        <w:tc>
          <w:tcPr>
            <w:tcW w:w="734" w:type="dxa"/>
          </w:tcPr>
          <w:p w:rsidR="00113AB5" w:rsidRDefault="00113AB5">
            <w:pPr>
              <w:jc w:val="center"/>
            </w:pPr>
            <w:r>
              <w:t>Cota parte</w:t>
            </w:r>
          </w:p>
        </w:tc>
        <w:tc>
          <w:tcPr>
            <w:tcW w:w="1102" w:type="dxa"/>
          </w:tcPr>
          <w:p w:rsidR="00113AB5" w:rsidRDefault="00113AB5">
            <w:pPr>
              <w:jc w:val="center"/>
            </w:pPr>
            <w:r>
              <w:t>Termen</w:t>
            </w:r>
          </w:p>
        </w:tc>
      </w:tr>
      <w:tr w:rsidR="00113AB5" w:rsidTr="00780B62">
        <w:trPr>
          <w:trHeight w:val="957"/>
        </w:trPr>
        <w:tc>
          <w:tcPr>
            <w:tcW w:w="829" w:type="dxa"/>
          </w:tcPr>
          <w:p w:rsidR="00113AB5" w:rsidRDefault="00113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:rsidR="00113AB5" w:rsidRDefault="00113AB5" w:rsidP="00900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7801112426</w:t>
            </w:r>
          </w:p>
        </w:tc>
        <w:tc>
          <w:tcPr>
            <w:tcW w:w="1159" w:type="dxa"/>
          </w:tcPr>
          <w:p w:rsidR="00113AB5" w:rsidRDefault="00113AB5" w:rsidP="00900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0,0072</w:t>
            </w:r>
          </w:p>
        </w:tc>
        <w:tc>
          <w:tcPr>
            <w:tcW w:w="1105" w:type="dxa"/>
          </w:tcPr>
          <w:p w:rsidR="00113AB5" w:rsidRDefault="00113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113AB5" w:rsidRDefault="00113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 Independenţei</w:t>
            </w:r>
          </w:p>
        </w:tc>
        <w:tc>
          <w:tcPr>
            <w:tcW w:w="1285" w:type="dxa"/>
          </w:tcPr>
          <w:p w:rsidR="00113AB5" w:rsidRDefault="00113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Ursu Liudmila</w:t>
            </w:r>
          </w:p>
        </w:tc>
        <w:tc>
          <w:tcPr>
            <w:tcW w:w="734" w:type="dxa"/>
          </w:tcPr>
          <w:p w:rsidR="00113AB5" w:rsidRDefault="00113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02" w:type="dxa"/>
          </w:tcPr>
          <w:p w:rsidR="00113AB5" w:rsidRDefault="00113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ani</w:t>
            </w:r>
          </w:p>
        </w:tc>
      </w:tr>
    </w:tbl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>
      <w:bookmarkStart w:id="0" w:name="_GoBack"/>
      <w:bookmarkEnd w:id="0"/>
    </w:p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/>
    <w:p w:rsidR="00113AB5" w:rsidRDefault="00113AB5" w:rsidP="00900E0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Notă informativă</w:t>
      </w:r>
    </w:p>
    <w:p w:rsidR="00113AB5" w:rsidRDefault="00113AB5" w:rsidP="00900E0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La proiectul de decizie „Cu privire la acordarea unor împuterniciri</w:t>
      </w:r>
    </w:p>
    <w:p w:rsidR="00113AB5" w:rsidRDefault="00113AB5" w:rsidP="00900E0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la capitolul administrării bunurilor pentru</w:t>
      </w:r>
    </w:p>
    <w:p w:rsidR="00113AB5" w:rsidRPr="008B6AC3" w:rsidRDefault="00113AB5" w:rsidP="00900E01">
      <w:pPr>
        <w:jc w:val="center"/>
        <w:rPr>
          <w:rFonts w:ascii="Bookman Old Style" w:hAnsi="Bookman Old Style"/>
          <w:b/>
          <w:sz w:val="28"/>
          <w:szCs w:val="28"/>
          <w:lang w:val="it-IT"/>
        </w:rPr>
      </w:pPr>
      <w:r>
        <w:rPr>
          <w:rFonts w:ascii="Bookman Old Style" w:hAnsi="Bookman Old Style"/>
          <w:b/>
          <w:sz w:val="28"/>
          <w:szCs w:val="28"/>
        </w:rPr>
        <w:t>reîncheierea contractelor de locaţiune</w:t>
      </w: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Pr="008B6AC3" w:rsidRDefault="00113AB5" w:rsidP="00900E01">
      <w:pPr>
        <w:rPr>
          <w:b/>
          <w:lang w:val="it-IT"/>
        </w:rPr>
      </w:pPr>
    </w:p>
    <w:p w:rsidR="00113AB5" w:rsidRDefault="00113AB5" w:rsidP="00900E01">
      <w:pPr>
        <w:ind w:firstLine="708"/>
        <w:jc w:val="both"/>
        <w:rPr>
          <w:sz w:val="24"/>
          <w:szCs w:val="24"/>
          <w:lang w:val="en-US"/>
        </w:rPr>
      </w:pPr>
      <w:r w:rsidRPr="008B6AC3">
        <w:rPr>
          <w:lang w:val="it-IT"/>
        </w:rPr>
        <w:tab/>
      </w:r>
      <w:r w:rsidRPr="008B6AC3">
        <w:rPr>
          <w:sz w:val="24"/>
          <w:szCs w:val="24"/>
          <w:lang w:val="it-IT"/>
        </w:rPr>
        <w:t xml:space="preserve">Se propune pentru a examina proiectul de decizie “Cu privire la acordarea unor împuterniciri la capitolul administrării bunurilor pentru reîncheierea contractelor de locaţiune”, ce cerere sa adresat cet. </w:t>
      </w:r>
      <w:r>
        <w:rPr>
          <w:sz w:val="24"/>
          <w:szCs w:val="24"/>
          <w:lang w:val="en-US"/>
        </w:rPr>
        <w:t>Mînăscurtă Ghenadie pentru prelungirea contractelor de locaţiune.</w:t>
      </w: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rPr>
          <w:b/>
          <w:lang w:val="en-US"/>
        </w:rPr>
      </w:pPr>
    </w:p>
    <w:p w:rsidR="00113AB5" w:rsidRDefault="00113AB5" w:rsidP="00900E01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Ghenadie Tudos, Specialist</w:t>
      </w:r>
    </w:p>
    <w:p w:rsidR="00113AB5" w:rsidRDefault="00113AB5" w:rsidP="00900E01">
      <w:pPr>
        <w:jc w:val="right"/>
        <w:rPr>
          <w:b/>
          <w:lang w:val="en-US"/>
        </w:rPr>
      </w:pPr>
    </w:p>
    <w:p w:rsidR="00113AB5" w:rsidRDefault="00113AB5" w:rsidP="00900E01">
      <w:pPr>
        <w:jc w:val="right"/>
        <w:rPr>
          <w:b/>
          <w:lang w:val="en-US"/>
        </w:rPr>
      </w:pPr>
    </w:p>
    <w:p w:rsidR="00113AB5" w:rsidRDefault="00113AB5" w:rsidP="00900E01">
      <w:pPr>
        <w:jc w:val="right"/>
        <w:rPr>
          <w:b/>
          <w:lang w:val="en-US"/>
        </w:rPr>
      </w:pPr>
    </w:p>
    <w:p w:rsidR="00113AB5" w:rsidRDefault="00113AB5" w:rsidP="00900E01">
      <w:pPr>
        <w:jc w:val="right"/>
        <w:rPr>
          <w:b/>
          <w:lang w:val="en-US"/>
        </w:rPr>
      </w:pPr>
    </w:p>
    <w:p w:rsidR="00113AB5" w:rsidRDefault="00113AB5" w:rsidP="00900E01">
      <w:pPr>
        <w:jc w:val="right"/>
        <w:rPr>
          <w:b/>
          <w:lang w:val="en-US"/>
        </w:rPr>
      </w:pPr>
    </w:p>
    <w:p w:rsidR="00113AB5" w:rsidRDefault="00113AB5" w:rsidP="00900E01">
      <w:pPr>
        <w:jc w:val="right"/>
        <w:rPr>
          <w:b/>
          <w:lang w:val="en-US"/>
        </w:rPr>
      </w:pPr>
    </w:p>
    <w:p w:rsidR="00113AB5" w:rsidRDefault="00113AB5" w:rsidP="00900E01"/>
    <w:p w:rsidR="00113AB5" w:rsidRDefault="00113AB5"/>
    <w:sectPr w:rsidR="00113AB5" w:rsidSect="00900E0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049"/>
    <w:rsid w:val="00073049"/>
    <w:rsid w:val="000C0A71"/>
    <w:rsid w:val="000F5697"/>
    <w:rsid w:val="00113AB5"/>
    <w:rsid w:val="00197E11"/>
    <w:rsid w:val="0051168A"/>
    <w:rsid w:val="00780B62"/>
    <w:rsid w:val="00784E0B"/>
    <w:rsid w:val="008B6AC3"/>
    <w:rsid w:val="00900E01"/>
    <w:rsid w:val="00B8072A"/>
    <w:rsid w:val="00EC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01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E01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0E01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0E01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0E01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C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DD7"/>
    <w:rPr>
      <w:rFonts w:ascii="Segoe U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280</Words>
  <Characters>1599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6</cp:revision>
  <cp:lastPrinted>2017-06-14T08:06:00Z</cp:lastPrinted>
  <dcterms:created xsi:type="dcterms:W3CDTF">2017-06-08T06:07:00Z</dcterms:created>
  <dcterms:modified xsi:type="dcterms:W3CDTF">2017-07-04T09:00:00Z</dcterms:modified>
</cp:coreProperties>
</file>